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616C7035" w:rsidR="00CD4C7B" w:rsidRPr="00B266B0" w:rsidRDefault="00FE251B" w:rsidP="00CD4C7B">
      <w:pPr>
        <w:pStyle w:val="Header"/>
        <w:tabs>
          <w:tab w:val="right" w:pos="9639"/>
        </w:tabs>
        <w:rPr>
          <w:bCs/>
          <w:i/>
          <w:noProof w:val="0"/>
          <w:sz w:val="24"/>
          <w:szCs w:val="24"/>
        </w:rPr>
      </w:pPr>
      <w:r w:rsidRPr="00FE251B">
        <w:rPr>
          <w:bCs/>
          <w:noProof w:val="0"/>
          <w:sz w:val="24"/>
          <w:szCs w:val="24"/>
        </w:rPr>
        <w:t>3GPP TSG-RAN WG2 NR Ad hoc 1801</w:t>
      </w:r>
      <w:r w:rsidR="00CD4C7B" w:rsidRPr="00B266B0">
        <w:rPr>
          <w:bCs/>
          <w:noProof w:val="0"/>
          <w:sz w:val="24"/>
          <w:szCs w:val="24"/>
        </w:rPr>
        <w:tab/>
      </w:r>
      <w:r w:rsidR="00DE76F9" w:rsidRPr="00DE76F9">
        <w:rPr>
          <w:bCs/>
          <w:noProof w:val="0"/>
          <w:sz w:val="24"/>
          <w:szCs w:val="24"/>
        </w:rPr>
        <w:t>R2-180108</w:t>
      </w:r>
      <w:r w:rsidR="00DE76F9">
        <w:rPr>
          <w:bCs/>
          <w:noProof w:val="0"/>
          <w:sz w:val="24"/>
          <w:szCs w:val="24"/>
        </w:rPr>
        <w:t>5</w:t>
      </w:r>
    </w:p>
    <w:p w14:paraId="231362B2" w14:textId="1FC79AAC" w:rsidR="00CD4C7B" w:rsidRPr="00B266B0" w:rsidRDefault="00FE251B" w:rsidP="00CD4C7B">
      <w:pPr>
        <w:pStyle w:val="Header"/>
        <w:tabs>
          <w:tab w:val="right" w:pos="9639"/>
        </w:tabs>
        <w:rPr>
          <w:bCs/>
          <w:noProof w:val="0"/>
          <w:sz w:val="24"/>
          <w:szCs w:val="24"/>
        </w:rPr>
      </w:pPr>
      <w:r>
        <w:rPr>
          <w:rFonts w:eastAsia="SimSun"/>
          <w:noProof w:val="0"/>
          <w:sz w:val="24"/>
          <w:szCs w:val="24"/>
          <w:lang w:eastAsia="zh-CN"/>
        </w:rPr>
        <w:t>Vancouver</w:t>
      </w:r>
      <w:r w:rsidR="00C24650" w:rsidRPr="00C24650">
        <w:rPr>
          <w:rFonts w:eastAsia="SimSun"/>
          <w:noProof w:val="0"/>
          <w:sz w:val="24"/>
          <w:szCs w:val="24"/>
          <w:lang w:eastAsia="zh-CN"/>
        </w:rPr>
        <w:t xml:space="preserve">, </w:t>
      </w:r>
      <w:r>
        <w:rPr>
          <w:rFonts w:eastAsia="SimSun"/>
          <w:noProof w:val="0"/>
          <w:sz w:val="24"/>
          <w:szCs w:val="24"/>
          <w:lang w:eastAsia="zh-CN"/>
        </w:rPr>
        <w:t>Canada</w:t>
      </w:r>
      <w:r w:rsidR="00C24650" w:rsidRPr="00C24650">
        <w:rPr>
          <w:rFonts w:eastAsia="SimSun"/>
          <w:noProof w:val="0"/>
          <w:sz w:val="24"/>
          <w:szCs w:val="24"/>
          <w:lang w:eastAsia="zh-CN"/>
        </w:rPr>
        <w:t xml:space="preserve">, </w:t>
      </w:r>
      <w:r>
        <w:rPr>
          <w:rFonts w:eastAsia="SimSun"/>
          <w:noProof w:val="0"/>
          <w:sz w:val="24"/>
          <w:szCs w:val="24"/>
          <w:lang w:eastAsia="zh-CN"/>
        </w:rPr>
        <w:t>22 – 26 January</w:t>
      </w:r>
      <w:r w:rsidR="00364B41">
        <w:rPr>
          <w:rFonts w:eastAsia="SimSun"/>
          <w:noProof w:val="0"/>
          <w:sz w:val="24"/>
          <w:szCs w:val="24"/>
          <w:lang w:eastAsia="zh-CN"/>
        </w:rPr>
        <w:t xml:space="preserve"> </w:t>
      </w:r>
      <w:r w:rsidR="00C24650" w:rsidRPr="00C24650">
        <w:rPr>
          <w:rFonts w:eastAsia="SimSun"/>
          <w:noProof w:val="0"/>
          <w:sz w:val="24"/>
          <w:szCs w:val="24"/>
          <w:lang w:eastAsia="zh-CN"/>
        </w:rPr>
        <w:t>201</w:t>
      </w:r>
      <w:r>
        <w:rPr>
          <w:rFonts w:eastAsia="SimSun"/>
          <w:noProof w:val="0"/>
          <w:sz w:val="24"/>
          <w:szCs w:val="24"/>
          <w:lang w:eastAsia="zh-CN"/>
        </w:rPr>
        <w:t>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F36C96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bookmarkStart w:id="0" w:name="_Hlk503535289"/>
      <w:r w:rsidR="00DE76F9" w:rsidRPr="00DE76F9">
        <w:rPr>
          <w:rFonts w:cs="Arial"/>
          <w:b/>
          <w:bCs/>
          <w:sz w:val="24"/>
          <w:lang w:eastAsia="ja-JP"/>
        </w:rPr>
        <w:t>10.4.3.3</w:t>
      </w:r>
      <w:bookmarkEnd w:id="0"/>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A0EF8A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E76F9">
        <w:rPr>
          <w:rFonts w:ascii="Arial" w:hAnsi="Arial" w:cs="Arial"/>
          <w:b/>
          <w:bCs/>
          <w:sz w:val="24"/>
        </w:rPr>
        <w:t>Beam recovery – remaining CP aspects</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32ECCC33" w14:textId="442B4580" w:rsidR="00396D1B" w:rsidRDefault="008410EE" w:rsidP="006E4E57">
      <w:pPr>
        <w:jc w:val="both"/>
      </w:pPr>
      <w:r>
        <w:t xml:space="preserve">There are some </w:t>
      </w:r>
      <w:r w:rsidR="007B1D27">
        <w:t>unresolved issues related to beam failure configuration in the current version of NR RRC spe</w:t>
      </w:r>
      <w:r w:rsidR="001E1584">
        <w:t xml:space="preserve">cifications. Furthermore, </w:t>
      </w:r>
      <w:r w:rsidR="00B26E74">
        <w:t xml:space="preserve">RAN2 made an agreement during RAN2#100 meeting that besides </w:t>
      </w:r>
      <w:r w:rsidR="00CC3382">
        <w:t>contention free PRACH resources, it is possible to utilize contention based PRACH for beam recovery, which requires some modifications to the current ASN.1 structure.</w:t>
      </w:r>
    </w:p>
    <w:p w14:paraId="127ACA6D" w14:textId="177FF629" w:rsidR="00CD4C7B" w:rsidRPr="0027559E" w:rsidRDefault="00CD4C7B" w:rsidP="00CD4C7B">
      <w:pPr>
        <w:pStyle w:val="Heading1"/>
      </w:pPr>
      <w:r w:rsidRPr="0027559E">
        <w:t>2</w:t>
      </w:r>
      <w:r w:rsidRPr="0027559E">
        <w:tab/>
      </w:r>
      <w:r w:rsidR="00AC4CDC">
        <w:t>General aspects</w:t>
      </w:r>
    </w:p>
    <w:p w14:paraId="58D4CBF7" w14:textId="09C01830" w:rsidR="00593922" w:rsidRDefault="00593922" w:rsidP="00F952C5">
      <w:pPr>
        <w:spacing w:after="0"/>
        <w:jc w:val="both"/>
        <w:textAlignment w:val="center"/>
        <w:rPr>
          <w:rFonts w:cs="Calibri"/>
        </w:rPr>
      </w:pPr>
      <w:r>
        <w:rPr>
          <w:rFonts w:cs="Calibri"/>
        </w:rPr>
        <w:t>First of all, BeamManagement IE currently contains only parameters applicable to beam failure detection and recovery procedures. In the future it might also cover other aspects like for example PDCCH beam management (monitoring, switch, reporting etc.). However</w:t>
      </w:r>
      <w:r w:rsidR="00BC60BA">
        <w:rPr>
          <w:rFonts w:cs="Calibri"/>
        </w:rPr>
        <w:t>,</w:t>
      </w:r>
      <w:r>
        <w:rPr>
          <w:rFonts w:cs="Calibri"/>
        </w:rPr>
        <w:t xml:space="preserve"> these two aspects are rather different and we think BeamManagement is not the most suitable name for this IE. </w:t>
      </w:r>
    </w:p>
    <w:p w14:paraId="75C74E57" w14:textId="1D7417C1" w:rsidR="00593922" w:rsidRDefault="00593922" w:rsidP="00F952C5">
      <w:pPr>
        <w:spacing w:after="0"/>
        <w:jc w:val="both"/>
        <w:textAlignment w:val="center"/>
        <w:rPr>
          <w:rFonts w:cs="Calibri"/>
          <w:b/>
        </w:rPr>
      </w:pPr>
      <w:r>
        <w:rPr>
          <w:rFonts w:cs="Calibri"/>
          <w:b/>
        </w:rPr>
        <w:t>Proposal 1: BeamManagement IE is renamed to Beam</w:t>
      </w:r>
      <w:r w:rsidR="00BC60BA">
        <w:rPr>
          <w:rFonts w:cs="Calibri"/>
          <w:b/>
        </w:rPr>
        <w:t>Monitoring</w:t>
      </w:r>
      <w:r>
        <w:rPr>
          <w:rFonts w:cs="Calibri"/>
          <w:b/>
        </w:rPr>
        <w:t>Config.</w:t>
      </w:r>
    </w:p>
    <w:p w14:paraId="1E87A6E1" w14:textId="5519C667" w:rsidR="00593922" w:rsidRPr="00593922" w:rsidRDefault="00593922" w:rsidP="00F952C5">
      <w:pPr>
        <w:spacing w:after="0"/>
        <w:jc w:val="both"/>
        <w:textAlignment w:val="center"/>
        <w:rPr>
          <w:rFonts w:cs="Calibri"/>
        </w:rPr>
      </w:pPr>
    </w:p>
    <w:p w14:paraId="78FE1F9E" w14:textId="0E637708" w:rsidR="006A7A40" w:rsidRDefault="00593922" w:rsidP="00593922">
      <w:pPr>
        <w:spacing w:after="0"/>
        <w:jc w:val="both"/>
        <w:textAlignment w:val="center"/>
        <w:rPr>
          <w:rFonts w:cs="Calibri"/>
        </w:rPr>
      </w:pPr>
      <w:r w:rsidRPr="00593922">
        <w:rPr>
          <w:rFonts w:cs="Calibri"/>
        </w:rPr>
        <w:t>Second of all it should be decided where this IE really belongs. We share the doubts expressed in the current RRC specifications and by some companies during ASN.1 review</w:t>
      </w:r>
      <w:r>
        <w:rPr>
          <w:rFonts w:cs="Calibri"/>
        </w:rPr>
        <w:t xml:space="preserve"> that placing it together with CSI measurement framework configurations is not that straightforward. We believe beam failure information is more related to RLM processes than to CSI measurement framework, so in our opinion it should be placed </w:t>
      </w:r>
      <w:r w:rsidR="001145F4">
        <w:rPr>
          <w:rFonts w:cs="Calibri"/>
        </w:rPr>
        <w:t>together with RLM configuration. Since according to the RAN2 agreement “</w:t>
      </w:r>
      <w:r w:rsidR="001145F4" w:rsidRPr="001145F4">
        <w:rPr>
          <w:rFonts w:cs="Calibri"/>
        </w:rPr>
        <w:t>RLM configuration and RLF related timers and constants are located as part of the SpCell configuration information (therefore a s</w:t>
      </w:r>
      <w:r w:rsidR="001145F4">
        <w:rPr>
          <w:rFonts w:cs="Calibri"/>
        </w:rPr>
        <w:t>eparate configuration from RRM)” Therefore we propose that:</w:t>
      </w:r>
    </w:p>
    <w:p w14:paraId="18DA3949" w14:textId="405270BA" w:rsidR="001145F4" w:rsidRDefault="001145F4" w:rsidP="00593922">
      <w:pPr>
        <w:spacing w:after="0"/>
        <w:jc w:val="both"/>
        <w:textAlignment w:val="center"/>
        <w:rPr>
          <w:rFonts w:cs="Calibri"/>
          <w:b/>
        </w:rPr>
      </w:pPr>
      <w:r>
        <w:rPr>
          <w:rFonts w:cs="Calibri"/>
          <w:b/>
        </w:rPr>
        <w:t xml:space="preserve">Proposal 2: Beam </w:t>
      </w:r>
      <w:r w:rsidR="00BC60BA">
        <w:rPr>
          <w:rFonts w:cs="Calibri"/>
          <w:b/>
        </w:rPr>
        <w:t>monitoring</w:t>
      </w:r>
      <w:r>
        <w:rPr>
          <w:rFonts w:cs="Calibri"/>
          <w:b/>
        </w:rPr>
        <w:t xml:space="preserve"> configuration should be part of </w:t>
      </w:r>
      <w:r w:rsidR="00216B29">
        <w:rPr>
          <w:rFonts w:cs="Calibri"/>
          <w:b/>
        </w:rPr>
        <w:t xml:space="preserve">SpCell configuration. </w:t>
      </w:r>
    </w:p>
    <w:p w14:paraId="42D08099" w14:textId="53E2507D" w:rsidR="00216B29" w:rsidRDefault="00216B29" w:rsidP="00593922">
      <w:pPr>
        <w:spacing w:after="0"/>
        <w:jc w:val="both"/>
        <w:textAlignment w:val="center"/>
        <w:rPr>
          <w:rFonts w:cs="Calibri"/>
          <w:b/>
        </w:rPr>
      </w:pPr>
    </w:p>
    <w:p w14:paraId="0C5E0589" w14:textId="77777777" w:rsidR="009D3BCF" w:rsidRDefault="00216B29" w:rsidP="00593922">
      <w:pPr>
        <w:spacing w:after="0"/>
        <w:jc w:val="both"/>
        <w:textAlignment w:val="center"/>
        <w:rPr>
          <w:rFonts w:cs="Calibri"/>
        </w:rPr>
      </w:pPr>
      <w:r>
        <w:rPr>
          <w:rFonts w:cs="Calibri"/>
        </w:rPr>
        <w:t xml:space="preserve">As comments in ASN.1 are suggesting that this might be configurable per BWP, it might be worth clarifying that this does not seem to be the intention of neither RAN1 (according to the latest 38.213) and RAN2 (according to User Plane discussions). </w:t>
      </w:r>
      <w:r w:rsidR="009D3BCF">
        <w:rPr>
          <w:rFonts w:cs="Calibri"/>
        </w:rPr>
        <w:t>Beam failure recovery procedure is currently modelled in the same way as RACH procedure. RACH configuration is independent of BWP configuration and it was agreed by RAN2 that:</w:t>
      </w:r>
    </w:p>
    <w:p w14:paraId="50234E1C" w14:textId="77777777" w:rsidR="00541B2B" w:rsidRDefault="00541B2B" w:rsidP="00541B2B"/>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9"/>
      </w:tblGrid>
      <w:tr w:rsidR="00541B2B" w:rsidRPr="004543A1" w14:paraId="392E7972" w14:textId="77777777" w:rsidTr="00DD5E1C">
        <w:tc>
          <w:tcPr>
            <w:tcW w:w="8009" w:type="dxa"/>
            <w:shd w:val="clear" w:color="auto" w:fill="auto"/>
          </w:tcPr>
          <w:p w14:paraId="757862CB" w14:textId="77777777" w:rsidR="00541B2B" w:rsidRPr="004543A1" w:rsidRDefault="00541B2B" w:rsidP="00DD5E1C">
            <w:pPr>
              <w:pStyle w:val="Doc-text2"/>
              <w:tabs>
                <w:tab w:val="clear" w:pos="1622"/>
                <w:tab w:val="left" w:pos="358"/>
              </w:tabs>
              <w:ind w:left="1168" w:hanging="1168"/>
              <w:rPr>
                <w:b/>
                <w:i/>
              </w:rPr>
            </w:pPr>
            <w:r>
              <w:tab/>
            </w:r>
            <w:r w:rsidRPr="004543A1">
              <w:rPr>
                <w:b/>
                <w:i/>
              </w:rPr>
              <w:t>Agreements:</w:t>
            </w:r>
          </w:p>
          <w:p w14:paraId="26730D5E" w14:textId="77777777" w:rsidR="00541B2B" w:rsidRPr="004543A1" w:rsidRDefault="00541B2B" w:rsidP="00541B2B">
            <w:pPr>
              <w:pStyle w:val="Doc-text2"/>
              <w:numPr>
                <w:ilvl w:val="0"/>
                <w:numId w:val="12"/>
              </w:numPr>
              <w:tabs>
                <w:tab w:val="clear" w:pos="1622"/>
                <w:tab w:val="left" w:pos="358"/>
              </w:tabs>
              <w:ind w:left="358" w:hanging="358"/>
              <w:rPr>
                <w:i/>
              </w:rPr>
            </w:pPr>
            <w:r w:rsidRPr="004543A1">
              <w:rPr>
                <w:i/>
                <w:lang w:eastAsia="ko-KR"/>
              </w:rPr>
              <w:t>BWP switching cannot occur during RA procedure for RRC Connection establishment</w:t>
            </w:r>
          </w:p>
          <w:p w14:paraId="26D4A04C" w14:textId="77777777" w:rsidR="00541B2B" w:rsidRPr="009E48FD" w:rsidRDefault="00541B2B" w:rsidP="00541B2B">
            <w:pPr>
              <w:pStyle w:val="Doc-text2"/>
              <w:numPr>
                <w:ilvl w:val="0"/>
                <w:numId w:val="12"/>
              </w:numPr>
              <w:tabs>
                <w:tab w:val="clear" w:pos="1622"/>
                <w:tab w:val="left" w:pos="358"/>
              </w:tabs>
              <w:ind w:left="358" w:hanging="358"/>
              <w:rPr>
                <w:i/>
                <w:highlight w:val="yellow"/>
              </w:rPr>
            </w:pPr>
            <w:r w:rsidRPr="009E48FD">
              <w:rPr>
                <w:bCs/>
                <w:i/>
                <w:highlight w:val="yellow"/>
                <w:lang w:eastAsia="ko-KR"/>
              </w:rPr>
              <w:t>During CFRA</w:t>
            </w:r>
            <w:r w:rsidRPr="009E48FD">
              <w:rPr>
                <w:b/>
                <w:bCs/>
                <w:i/>
                <w:highlight w:val="yellow"/>
                <w:lang w:eastAsia="ko-KR"/>
              </w:rPr>
              <w:t xml:space="preserve"> </w:t>
            </w:r>
            <w:r w:rsidRPr="009E48FD">
              <w:rPr>
                <w:bCs/>
                <w:i/>
                <w:highlight w:val="yellow"/>
                <w:lang w:eastAsia="ko-KR"/>
              </w:rPr>
              <w:t xml:space="preserve">the network doesn’t perform BWP switching.  FFS on the impact of beam recovery.  </w:t>
            </w:r>
          </w:p>
          <w:p w14:paraId="46165295" w14:textId="77777777" w:rsidR="00541B2B" w:rsidRPr="004543A1" w:rsidRDefault="00541B2B" w:rsidP="00541B2B">
            <w:pPr>
              <w:pStyle w:val="Doc-text2"/>
              <w:numPr>
                <w:ilvl w:val="0"/>
                <w:numId w:val="12"/>
              </w:numPr>
              <w:tabs>
                <w:tab w:val="clear" w:pos="1622"/>
                <w:tab w:val="left" w:pos="358"/>
              </w:tabs>
              <w:ind w:left="358" w:hanging="358"/>
              <w:rPr>
                <w:i/>
              </w:rPr>
            </w:pPr>
            <w:r w:rsidRPr="004543A1">
              <w:rPr>
                <w:bCs/>
                <w:i/>
                <w:lang w:eastAsia="ko-KR"/>
              </w:rPr>
              <w:t>The UE stops the BWP timer when it initiates random access procedure</w:t>
            </w:r>
          </w:p>
          <w:p w14:paraId="616B0933" w14:textId="77777777" w:rsidR="00541B2B" w:rsidRPr="004543A1" w:rsidRDefault="00541B2B" w:rsidP="00541B2B">
            <w:pPr>
              <w:pStyle w:val="Doc-text2"/>
              <w:numPr>
                <w:ilvl w:val="0"/>
                <w:numId w:val="12"/>
              </w:numPr>
              <w:tabs>
                <w:tab w:val="clear" w:pos="1622"/>
                <w:tab w:val="left" w:pos="358"/>
              </w:tabs>
              <w:ind w:left="358" w:hanging="358"/>
              <w:rPr>
                <w:i/>
              </w:rPr>
            </w:pPr>
            <w:r w:rsidRPr="009E48FD">
              <w:rPr>
                <w:i/>
                <w:highlight w:val="yellow"/>
              </w:rPr>
              <w:t>For contention based, some UL BWP are configured with PRACH resources.  The UE performs RACH on the active BWP if configured with RACH resources.  If not configured the UE uses initial UL/DL BWP.</w:t>
            </w:r>
            <w:r w:rsidRPr="004543A1">
              <w:rPr>
                <w:i/>
              </w:rPr>
              <w:t xml:space="preserve">   It is recommended for the network to configure RACH resources on active BWP.   If the UE switches to initial BWP it stays there until told by the network to switch with a DCI.   </w:t>
            </w:r>
          </w:p>
          <w:p w14:paraId="624CD905" w14:textId="77777777" w:rsidR="00541B2B" w:rsidRPr="004543A1" w:rsidRDefault="00541B2B" w:rsidP="00541B2B">
            <w:pPr>
              <w:pStyle w:val="Doc-text2"/>
              <w:numPr>
                <w:ilvl w:val="0"/>
                <w:numId w:val="12"/>
              </w:numPr>
              <w:tabs>
                <w:tab w:val="clear" w:pos="1622"/>
                <w:tab w:val="left" w:pos="358"/>
              </w:tabs>
              <w:ind w:left="358" w:hanging="358"/>
              <w:rPr>
                <w:i/>
              </w:rPr>
            </w:pPr>
            <w:r w:rsidRPr="004543A1">
              <w:rPr>
                <w:i/>
              </w:rPr>
              <w:t xml:space="preserve">When a BWP switch command is received while the UE is doing CBRA, it is up to UE implementation whether it switches BWP, stops the RA and start in new BWP or whether it ignores the BWP switch command and continues the RA in the BWP where it started.   </w:t>
            </w:r>
          </w:p>
        </w:tc>
      </w:tr>
    </w:tbl>
    <w:p w14:paraId="46F5E214" w14:textId="61EF0709" w:rsidR="00541B2B" w:rsidRDefault="00541B2B" w:rsidP="00541B2B"/>
    <w:p w14:paraId="29EDC215" w14:textId="437F6568" w:rsidR="00541B2B" w:rsidRDefault="00541B2B" w:rsidP="00541B2B">
      <w:r>
        <w:lastRenderedPageBreak/>
        <w:t>Although it is not yet clear what the behaviour should be for CFRA based beam failure</w:t>
      </w:r>
      <w:r w:rsidR="009256A1">
        <w:t xml:space="preserve"> recovery</w:t>
      </w:r>
      <w:r>
        <w:t xml:space="preserve">, at least our opinion, as expressed in [1], is that UE should perform UL BWP switch if needed. </w:t>
      </w:r>
      <w:r w:rsidR="00741E3D">
        <w:t xml:space="preserve">UE could be either informed directly about which BWP should be used for beam recovery which might be configurable per RA preamble or per RACH configuration. On the other hand, UE could deduce the BWP part to be used based on where the configured preambles reside (based on prach-FreqOffset). We therefore think beam recovery configuration can be independent </w:t>
      </w:r>
      <w:r w:rsidR="0071235F">
        <w:t>from BWP configura</w:t>
      </w:r>
      <w:r w:rsidR="00741E3D">
        <w:t>t</w:t>
      </w:r>
      <w:r w:rsidR="0071235F">
        <w:t>i</w:t>
      </w:r>
      <w:r w:rsidR="00741E3D">
        <w:t xml:space="preserve">ons, but this can only be confirmed once RAN1 provides the final version of the related L1 parameters, including their allowable values. </w:t>
      </w:r>
    </w:p>
    <w:p w14:paraId="11A9F635" w14:textId="77777777" w:rsidR="00CE1D19" w:rsidRDefault="00541B2B" w:rsidP="00FD2168">
      <w:pPr>
        <w:rPr>
          <w:b/>
        </w:rPr>
      </w:pPr>
      <w:r>
        <w:rPr>
          <w:b/>
        </w:rPr>
        <w:t>Proposal 3: Beam failure recovery configuration should be independent from BWP configuration.</w:t>
      </w:r>
      <w:r w:rsidR="00741E3D">
        <w:rPr>
          <w:b/>
        </w:rPr>
        <w:t xml:space="preserve"> This should be reconfirmed after receiving final version of L1 parameters from RAN1.</w:t>
      </w:r>
    </w:p>
    <w:p w14:paraId="7498A94B" w14:textId="0EEC1338" w:rsidR="008121CC" w:rsidRDefault="008121CC" w:rsidP="00FD2168">
      <w:pPr>
        <w:rPr>
          <w:bCs/>
        </w:rPr>
      </w:pPr>
      <w:r>
        <w:t xml:space="preserve">It could be argued that , since </w:t>
      </w:r>
      <w:r w:rsidRPr="0062080B">
        <w:rPr>
          <w:bCs/>
          <w:i/>
        </w:rPr>
        <w:t>ResponseWindowSize-BFR</w:t>
      </w:r>
      <w:r>
        <w:rPr>
          <w:bCs/>
          <w:i/>
        </w:rPr>
        <w:t>,</w:t>
      </w:r>
      <w:r>
        <w:rPr>
          <w:bCs/>
        </w:rPr>
        <w:t xml:space="preserve"> </w:t>
      </w:r>
      <w:r w:rsidRPr="0062080B">
        <w:rPr>
          <w:bCs/>
          <w:i/>
        </w:rPr>
        <w:t>PreambleInitialReceivedTargetPower-BFR</w:t>
      </w:r>
      <w:r>
        <w:rPr>
          <w:bCs/>
          <w:i/>
        </w:rPr>
        <w:t xml:space="preserve">, </w:t>
      </w:r>
      <w:r w:rsidRPr="004A0B16">
        <w:rPr>
          <w:bCs/>
          <w:i/>
        </w:rPr>
        <w:t>powerRampingStep-BFR</w:t>
      </w:r>
      <w:r>
        <w:rPr>
          <w:bCs/>
        </w:rPr>
        <w:t xml:space="preserve">, and </w:t>
      </w:r>
      <w:r w:rsidRPr="0062080B">
        <w:rPr>
          <w:bCs/>
          <w:i/>
        </w:rPr>
        <w:t>PreambleTransMax-</w:t>
      </w:r>
      <w:r w:rsidRPr="004A0B16">
        <w:rPr>
          <w:bCs/>
          <w:i/>
        </w:rPr>
        <w:t>BFR</w:t>
      </w:r>
      <w:r>
        <w:rPr>
          <w:bCs/>
        </w:rPr>
        <w:t xml:space="preserve"> are parameters overlapping between beam failure recovery and common RACH configuration, they could be made optional with a clarification that that UE should use the related parameter from initial access configuration from SIB1/initial uplink bandwidth part’s configuration upon their absence. Although, this could save some signalling overhead, we need to consider also the case of Supplementary Uplink configuration and in this case, there are two initial UL BWPs configured in the UE and they are used by the UE depending on the network configuration and UE’s radio conditions. Thus, additional clarifications would have to be added for SUL case, explaining which parameters UE should use for beam failure recovery in case the ones mentioned above are absent. In our opinion</w:t>
      </w:r>
      <w:r w:rsidR="00BF354F">
        <w:rPr>
          <w:bCs/>
        </w:rPr>
        <w:t>,</w:t>
      </w:r>
      <w:r>
        <w:rPr>
          <w:bCs/>
        </w:rPr>
        <w:t xml:space="preserve"> the gains do not justify the pains and we propose that these</w:t>
      </w:r>
      <w:r w:rsidR="00BF354F">
        <w:rPr>
          <w:bCs/>
        </w:rPr>
        <w:t xml:space="preserve"> fields should always be part of beam failure configuration.</w:t>
      </w:r>
    </w:p>
    <w:p w14:paraId="4F8D1E33" w14:textId="10EB524D" w:rsidR="00BF354F" w:rsidRPr="00B26F74" w:rsidRDefault="00BF354F" w:rsidP="00FD2168">
      <w:pPr>
        <w:rPr>
          <w:b/>
        </w:rPr>
      </w:pPr>
      <w:r>
        <w:rPr>
          <w:b/>
          <w:bCs/>
        </w:rPr>
        <w:t xml:space="preserve">Proposal 4: </w:t>
      </w:r>
      <w:r w:rsidR="00EC332F">
        <w:rPr>
          <w:b/>
          <w:bCs/>
        </w:rPr>
        <w:t>RACH configuration fields are mandatory for beam failure recovery configuration based on contention free resources.</w:t>
      </w:r>
    </w:p>
    <w:p w14:paraId="7FA51881" w14:textId="77777777" w:rsidR="00E74871" w:rsidRDefault="00FB0A37" w:rsidP="00FD2168">
      <w:r>
        <w:t>RAN2 agreed</w:t>
      </w:r>
      <w:r w:rsidR="005929EB">
        <w:t xml:space="preserve"> during RAN2#100 meeting</w:t>
      </w:r>
      <w:r>
        <w:t xml:space="preserve"> that not only contention free RACH resources can be used for beam failure recovery, but contention based RACH resources as well. </w:t>
      </w:r>
      <w:r w:rsidR="005929EB">
        <w:t xml:space="preserve">However, all the L1 parameters provided by RAN1 </w:t>
      </w:r>
      <w:r w:rsidR="000A6A8C">
        <w:t xml:space="preserve">concern contention free based beam recovery while they are captured in the current ASN.1 as </w:t>
      </w:r>
      <w:r w:rsidR="000A6A8C" w:rsidRPr="000A6A8C">
        <w:t>rach-ConfigCommon</w:t>
      </w:r>
      <w:r w:rsidR="000A6A8C">
        <w:t xml:space="preserve"> and </w:t>
      </w:r>
      <w:r w:rsidR="000A6A8C" w:rsidRPr="000A6A8C">
        <w:t>rach-ConfigDedicated</w:t>
      </w:r>
      <w:r w:rsidR="000A6A8C">
        <w:t xml:space="preserve"> IE, which is confusing. We propose to </w:t>
      </w:r>
      <w:r w:rsidR="00031776">
        <w:t>rename</w:t>
      </w:r>
      <w:r w:rsidR="000A6A8C">
        <w:t xml:space="preserve"> </w:t>
      </w:r>
      <w:r w:rsidR="00031776">
        <w:t>them to avoid confusion between CFRA and CBRA based beam failure recovery procedures</w:t>
      </w:r>
      <w:r w:rsidR="000202AB">
        <w:t xml:space="preserve">. </w:t>
      </w:r>
    </w:p>
    <w:p w14:paraId="73DD5F75" w14:textId="3F640F63" w:rsidR="00E74871" w:rsidRPr="00B26F74" w:rsidRDefault="00E74871" w:rsidP="00FD2168">
      <w:pPr>
        <w:rPr>
          <w:b/>
        </w:rPr>
      </w:pPr>
      <w:r>
        <w:rPr>
          <w:b/>
          <w:bCs/>
        </w:rPr>
        <w:t xml:space="preserve">Proposal </w:t>
      </w:r>
      <w:r w:rsidR="00A14A7E">
        <w:rPr>
          <w:b/>
          <w:bCs/>
        </w:rPr>
        <w:t>5</w:t>
      </w:r>
      <w:r>
        <w:rPr>
          <w:b/>
          <w:bCs/>
        </w:rPr>
        <w:t xml:space="preserve">: Rename rach-ConfigCommon and rach-ConfigDedicated parameters in beam failure </w:t>
      </w:r>
      <w:r w:rsidR="00B26F74">
        <w:rPr>
          <w:b/>
          <w:bCs/>
        </w:rPr>
        <w:t>configuration</w:t>
      </w:r>
      <w:r>
        <w:rPr>
          <w:b/>
          <w:bCs/>
        </w:rPr>
        <w:t xml:space="preserve"> to avoid confusion between contention free and contention based beam recovery procedures.</w:t>
      </w:r>
    </w:p>
    <w:p w14:paraId="5D4856A1" w14:textId="2B3A2724" w:rsidR="00FD2168" w:rsidRDefault="00FD2168" w:rsidP="00FD2168">
      <w:pPr>
        <w:rPr>
          <w:bCs/>
        </w:rPr>
      </w:pPr>
    </w:p>
    <w:p w14:paraId="70D29FC0" w14:textId="6F8E5B31" w:rsidR="00B9223D" w:rsidRPr="00365871" w:rsidRDefault="00B9223D" w:rsidP="00B9223D">
      <w:pPr>
        <w:pStyle w:val="Heading1"/>
      </w:pPr>
      <w:r>
        <w:t>4</w:t>
      </w:r>
      <w:r w:rsidRPr="006E13D1">
        <w:tab/>
      </w:r>
      <w:r>
        <w:t>Summary</w:t>
      </w:r>
    </w:p>
    <w:p w14:paraId="5B477BB0" w14:textId="5F755F06" w:rsidR="00B9223D" w:rsidRDefault="00FB0A37" w:rsidP="00B9223D">
      <w:r>
        <w:t>Base on the discussion in this paper it is proposed to agree on the below proposals:</w:t>
      </w:r>
    </w:p>
    <w:p w14:paraId="703BE33B" w14:textId="77777777" w:rsidR="002B3DB1" w:rsidRDefault="002B3DB1" w:rsidP="002B3DB1">
      <w:pPr>
        <w:jc w:val="both"/>
        <w:textAlignment w:val="center"/>
        <w:rPr>
          <w:rFonts w:cs="Calibri"/>
          <w:b/>
        </w:rPr>
      </w:pPr>
      <w:r>
        <w:rPr>
          <w:rFonts w:cs="Calibri"/>
          <w:b/>
        </w:rPr>
        <w:t>Proposal 1: BeamManagement IE is renamed to BeamMonitoringConfig.</w:t>
      </w:r>
    </w:p>
    <w:p w14:paraId="4489542E" w14:textId="77777777" w:rsidR="002B3DB1" w:rsidRDefault="002B3DB1" w:rsidP="002B3DB1">
      <w:pPr>
        <w:jc w:val="both"/>
        <w:textAlignment w:val="center"/>
        <w:rPr>
          <w:rFonts w:cs="Calibri"/>
          <w:b/>
        </w:rPr>
      </w:pPr>
      <w:r>
        <w:rPr>
          <w:rFonts w:cs="Calibri"/>
          <w:b/>
        </w:rPr>
        <w:t xml:space="preserve">Proposal 2: Beam monitoring configuration should be part of SpCell configuration. </w:t>
      </w:r>
    </w:p>
    <w:p w14:paraId="636F4B64" w14:textId="6AA316B5" w:rsidR="002B3DB1" w:rsidRPr="00541B2B" w:rsidRDefault="002B3DB1" w:rsidP="002B3DB1">
      <w:pPr>
        <w:rPr>
          <w:b/>
        </w:rPr>
      </w:pPr>
      <w:r>
        <w:rPr>
          <w:b/>
        </w:rPr>
        <w:t>Proposal 3: Beam failure recovery configuration should be independent from BWP configuration.</w:t>
      </w:r>
      <w:r w:rsidR="00CE1D19">
        <w:rPr>
          <w:b/>
        </w:rPr>
        <w:t xml:space="preserve"> </w:t>
      </w:r>
      <w:r w:rsidR="00CE1D19">
        <w:rPr>
          <w:b/>
        </w:rPr>
        <w:t>This should be reconfirmed after receiving final version of L1 parameters from RAN1.</w:t>
      </w:r>
      <w:bookmarkStart w:id="1" w:name="_GoBack"/>
      <w:bookmarkEnd w:id="1"/>
    </w:p>
    <w:p w14:paraId="5316E6F0" w14:textId="097AC6BB" w:rsidR="00E74871" w:rsidRDefault="00E74871" w:rsidP="00E74871">
      <w:pPr>
        <w:rPr>
          <w:b/>
          <w:bCs/>
        </w:rPr>
      </w:pPr>
      <w:r>
        <w:rPr>
          <w:b/>
          <w:bCs/>
        </w:rPr>
        <w:t>Proposal 4: RACH configuration fields are mandatory for beam failure recovery configuration based on contention free resources.</w:t>
      </w:r>
    </w:p>
    <w:p w14:paraId="644DD9AE" w14:textId="1F8CB5BC" w:rsidR="00A14A7E" w:rsidRPr="008D6831" w:rsidRDefault="00A14A7E" w:rsidP="00A14A7E">
      <w:pPr>
        <w:rPr>
          <w:b/>
        </w:rPr>
      </w:pPr>
      <w:r>
        <w:rPr>
          <w:b/>
          <w:bCs/>
        </w:rPr>
        <w:t>Proposal 5: Rename rach-ConfigCommon and rach-ConfigDedicated parameters in beam failure conf</w:t>
      </w:r>
      <w:r w:rsidR="00B26F74">
        <w:rPr>
          <w:b/>
          <w:bCs/>
        </w:rPr>
        <w:t>ig</w:t>
      </w:r>
      <w:r>
        <w:rPr>
          <w:b/>
          <w:bCs/>
        </w:rPr>
        <w:t>ura</w:t>
      </w:r>
      <w:r w:rsidR="00B26F74">
        <w:rPr>
          <w:b/>
          <w:bCs/>
        </w:rPr>
        <w:t>tio</w:t>
      </w:r>
      <w:r>
        <w:rPr>
          <w:b/>
          <w:bCs/>
        </w:rPr>
        <w:t>n to avoid confusion between contention free and contention based beam recovery procedures.</w:t>
      </w:r>
    </w:p>
    <w:p w14:paraId="34CB56E0" w14:textId="6D8DAC10" w:rsidR="00FB0A37" w:rsidRPr="00365871" w:rsidRDefault="002B3DB1" w:rsidP="00B9223D">
      <w:r>
        <w:t>The proposed changes are reflected in the draft CR in [4].</w:t>
      </w:r>
    </w:p>
    <w:p w14:paraId="1D46EED2" w14:textId="5E27C52A" w:rsidR="00541B2B" w:rsidRDefault="00541B2B" w:rsidP="00541B2B">
      <w:pPr>
        <w:pStyle w:val="Heading1"/>
      </w:pPr>
      <w:r>
        <w:t>References</w:t>
      </w:r>
    </w:p>
    <w:p w14:paraId="36C3B293" w14:textId="7D5DD26F" w:rsidR="00541B2B" w:rsidRDefault="00541B2B" w:rsidP="00541B2B">
      <w:pPr>
        <w:pStyle w:val="ListParagraph"/>
        <w:numPr>
          <w:ilvl w:val="0"/>
          <w:numId w:val="13"/>
        </w:numPr>
      </w:pPr>
      <w:r w:rsidRPr="003F3732">
        <w:t xml:space="preserve">R2-1800961, </w:t>
      </w:r>
      <w:r w:rsidRPr="003F3732">
        <w:rPr>
          <w:i/>
        </w:rPr>
        <w:t>Further details on BWP switch interaction with RA</w:t>
      </w:r>
      <w:r w:rsidRPr="003F3732">
        <w:t>, Nokia, Nokia Shanghai Bell</w:t>
      </w:r>
    </w:p>
    <w:p w14:paraId="135EEB2E" w14:textId="703728D4" w:rsidR="003F3732" w:rsidRDefault="003F3732" w:rsidP="00541B2B">
      <w:pPr>
        <w:pStyle w:val="ListParagraph"/>
        <w:numPr>
          <w:ilvl w:val="0"/>
          <w:numId w:val="13"/>
        </w:numPr>
      </w:pPr>
      <w:r>
        <w:t xml:space="preserve">R2-1800003, </w:t>
      </w:r>
      <w:r w:rsidRPr="003A0B58">
        <w:rPr>
          <w:i/>
        </w:rPr>
        <w:t>LS to RAN2 on Beam Failure Recovery</w:t>
      </w:r>
      <w:r>
        <w:t>, Source: RAN1</w:t>
      </w:r>
    </w:p>
    <w:p w14:paraId="59FF187A" w14:textId="312A6884" w:rsidR="003F3732" w:rsidRDefault="007E2DB3" w:rsidP="007E2DB3">
      <w:pPr>
        <w:pStyle w:val="ListParagraph"/>
        <w:numPr>
          <w:ilvl w:val="0"/>
          <w:numId w:val="13"/>
        </w:numPr>
      </w:pPr>
      <w:r w:rsidRPr="007E2DB3">
        <w:t>R1-1721581</w:t>
      </w:r>
      <w:r>
        <w:t>,</w:t>
      </w:r>
      <w:r w:rsidRPr="007E2DB3">
        <w:t xml:space="preserve"> </w:t>
      </w:r>
      <w:r w:rsidRPr="007E2DB3">
        <w:rPr>
          <w:i/>
        </w:rPr>
        <w:t>RRC parameters for NR</w:t>
      </w:r>
      <w:r>
        <w:t xml:space="preserve">, </w:t>
      </w:r>
      <w:r w:rsidRPr="007E2DB3">
        <w:t>Ericsson</w:t>
      </w:r>
    </w:p>
    <w:p w14:paraId="5B954EA6" w14:textId="6CC5A4FC" w:rsidR="00080512" w:rsidRPr="00FA0F77" w:rsidRDefault="00E65B1B" w:rsidP="00FA0F77">
      <w:pPr>
        <w:pStyle w:val="ListParagraph"/>
        <w:numPr>
          <w:ilvl w:val="0"/>
          <w:numId w:val="13"/>
        </w:numPr>
      </w:pPr>
      <w:r>
        <w:t xml:space="preserve">R2-1801086, </w:t>
      </w:r>
      <w:r w:rsidRPr="00E65B1B">
        <w:rPr>
          <w:i/>
        </w:rPr>
        <w:t>Beam recovery – remaining CP aspects – draft CR</w:t>
      </w:r>
      <w:r>
        <w:t>, Nokia, Nokia Shanghai-Bell</w:t>
      </w:r>
    </w:p>
    <w:sectPr w:rsidR="00080512" w:rsidRPr="00FA0F7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70F5C1" w14:textId="77777777" w:rsidR="00373523" w:rsidRDefault="00373523">
      <w:r>
        <w:separator/>
      </w:r>
    </w:p>
  </w:endnote>
  <w:endnote w:type="continuationSeparator" w:id="0">
    <w:p w14:paraId="7531353D" w14:textId="77777777" w:rsidR="00373523" w:rsidRDefault="00373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D1267F" w14:textId="77777777" w:rsidR="00373523" w:rsidRDefault="00373523">
      <w:r>
        <w:separator/>
      </w:r>
    </w:p>
  </w:footnote>
  <w:footnote w:type="continuationSeparator" w:id="0">
    <w:p w14:paraId="45781DC3" w14:textId="77777777" w:rsidR="00373523" w:rsidRDefault="003735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A670B"/>
    <w:multiLevelType w:val="multilevel"/>
    <w:tmpl w:val="B8984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5F635C"/>
    <w:multiLevelType w:val="hybridMultilevel"/>
    <w:tmpl w:val="C96A741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2A041B8"/>
    <w:multiLevelType w:val="hybridMultilevel"/>
    <w:tmpl w:val="01AA301C"/>
    <w:lvl w:ilvl="0" w:tplc="309C4E7C">
      <w:start w:val="1"/>
      <w:numFmt w:val="bullet"/>
      <w:lvlText w:val="•"/>
      <w:lvlJc w:val="left"/>
      <w:pPr>
        <w:tabs>
          <w:tab w:val="num" w:pos="720"/>
        </w:tabs>
        <w:ind w:left="720" w:hanging="360"/>
      </w:pPr>
      <w:rPr>
        <w:rFonts w:ascii="Arial" w:hAnsi="Arial" w:hint="default"/>
      </w:rPr>
    </w:lvl>
    <w:lvl w:ilvl="1" w:tplc="61A0D204">
      <w:numFmt w:val="bullet"/>
      <w:lvlText w:val="•"/>
      <w:lvlJc w:val="left"/>
      <w:pPr>
        <w:tabs>
          <w:tab w:val="num" w:pos="1440"/>
        </w:tabs>
        <w:ind w:left="1440" w:hanging="360"/>
      </w:pPr>
      <w:rPr>
        <w:rFonts w:ascii="Arial" w:hAnsi="Arial" w:hint="default"/>
      </w:rPr>
    </w:lvl>
    <w:lvl w:ilvl="2" w:tplc="714A9DF6">
      <w:numFmt w:val="bullet"/>
      <w:lvlText w:val="•"/>
      <w:lvlJc w:val="left"/>
      <w:pPr>
        <w:tabs>
          <w:tab w:val="num" w:pos="2160"/>
        </w:tabs>
        <w:ind w:left="2160" w:hanging="360"/>
      </w:pPr>
      <w:rPr>
        <w:rFonts w:ascii="Arial" w:hAnsi="Arial" w:hint="default"/>
      </w:rPr>
    </w:lvl>
    <w:lvl w:ilvl="3" w:tplc="5D304EF8">
      <w:numFmt w:val="bullet"/>
      <w:lvlText w:val=""/>
      <w:lvlJc w:val="left"/>
      <w:pPr>
        <w:tabs>
          <w:tab w:val="num" w:pos="2880"/>
        </w:tabs>
        <w:ind w:left="2880" w:hanging="360"/>
      </w:pPr>
      <w:rPr>
        <w:rFonts w:ascii="Symbol" w:hAnsi="Symbol" w:hint="default"/>
      </w:rPr>
    </w:lvl>
    <w:lvl w:ilvl="4" w:tplc="057265A6" w:tentative="1">
      <w:start w:val="1"/>
      <w:numFmt w:val="bullet"/>
      <w:lvlText w:val="•"/>
      <w:lvlJc w:val="left"/>
      <w:pPr>
        <w:tabs>
          <w:tab w:val="num" w:pos="3600"/>
        </w:tabs>
        <w:ind w:left="3600" w:hanging="360"/>
      </w:pPr>
      <w:rPr>
        <w:rFonts w:ascii="Arial" w:hAnsi="Arial" w:hint="default"/>
      </w:rPr>
    </w:lvl>
    <w:lvl w:ilvl="5" w:tplc="EB8CFA06" w:tentative="1">
      <w:start w:val="1"/>
      <w:numFmt w:val="bullet"/>
      <w:lvlText w:val="•"/>
      <w:lvlJc w:val="left"/>
      <w:pPr>
        <w:tabs>
          <w:tab w:val="num" w:pos="4320"/>
        </w:tabs>
        <w:ind w:left="4320" w:hanging="360"/>
      </w:pPr>
      <w:rPr>
        <w:rFonts w:ascii="Arial" w:hAnsi="Arial" w:hint="default"/>
      </w:rPr>
    </w:lvl>
    <w:lvl w:ilvl="6" w:tplc="69FA0904" w:tentative="1">
      <w:start w:val="1"/>
      <w:numFmt w:val="bullet"/>
      <w:lvlText w:val="•"/>
      <w:lvlJc w:val="left"/>
      <w:pPr>
        <w:tabs>
          <w:tab w:val="num" w:pos="5040"/>
        </w:tabs>
        <w:ind w:left="5040" w:hanging="360"/>
      </w:pPr>
      <w:rPr>
        <w:rFonts w:ascii="Arial" w:hAnsi="Arial" w:hint="default"/>
      </w:rPr>
    </w:lvl>
    <w:lvl w:ilvl="7" w:tplc="2320E426" w:tentative="1">
      <w:start w:val="1"/>
      <w:numFmt w:val="bullet"/>
      <w:lvlText w:val="•"/>
      <w:lvlJc w:val="left"/>
      <w:pPr>
        <w:tabs>
          <w:tab w:val="num" w:pos="5760"/>
        </w:tabs>
        <w:ind w:left="5760" w:hanging="360"/>
      </w:pPr>
      <w:rPr>
        <w:rFonts w:ascii="Arial" w:hAnsi="Arial" w:hint="default"/>
      </w:rPr>
    </w:lvl>
    <w:lvl w:ilvl="8" w:tplc="1E146DA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A665DB"/>
    <w:multiLevelType w:val="multilevel"/>
    <w:tmpl w:val="9B78FA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9912E0E"/>
    <w:multiLevelType w:val="hybridMultilevel"/>
    <w:tmpl w:val="8E40A648"/>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3FE02918"/>
    <w:multiLevelType w:val="hybridMultilevel"/>
    <w:tmpl w:val="28E08F16"/>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74606754"/>
    <w:multiLevelType w:val="hybridMultilevel"/>
    <w:tmpl w:val="9F482746"/>
    <w:lvl w:ilvl="0" w:tplc="AA4EF41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773C1D14"/>
    <w:multiLevelType w:val="hybridMultilevel"/>
    <w:tmpl w:val="0A04BB54"/>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11"/>
  </w:num>
  <w:num w:numId="6">
    <w:abstractNumId w:val="3"/>
  </w:num>
  <w:num w:numId="7">
    <w:abstractNumId w:val="8"/>
  </w:num>
  <w:num w:numId="8">
    <w:abstractNumId w:val="7"/>
  </w:num>
  <w:num w:numId="9">
    <w:abstractNumId w:val="1"/>
  </w:num>
  <w:num w:numId="10">
    <w:abstractNumId w:val="5"/>
  </w:num>
  <w:num w:numId="11">
    <w:abstractNumId w:val="4"/>
  </w:num>
  <w:num w:numId="12">
    <w:abstractNumId w:val="9"/>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02AB"/>
    <w:rsid w:val="00031776"/>
    <w:rsid w:val="00033397"/>
    <w:rsid w:val="00040095"/>
    <w:rsid w:val="00080512"/>
    <w:rsid w:val="00090468"/>
    <w:rsid w:val="00093BCE"/>
    <w:rsid w:val="000A4CDF"/>
    <w:rsid w:val="000A6A8C"/>
    <w:rsid w:val="000B7BCF"/>
    <w:rsid w:val="000C522B"/>
    <w:rsid w:val="000D58AB"/>
    <w:rsid w:val="00112F1A"/>
    <w:rsid w:val="001145F4"/>
    <w:rsid w:val="00145075"/>
    <w:rsid w:val="001741A0"/>
    <w:rsid w:val="00175FA0"/>
    <w:rsid w:val="00194CD0"/>
    <w:rsid w:val="001B49C9"/>
    <w:rsid w:val="001C4F79"/>
    <w:rsid w:val="001E1584"/>
    <w:rsid w:val="001F168B"/>
    <w:rsid w:val="001F7831"/>
    <w:rsid w:val="00204045"/>
    <w:rsid w:val="0020712B"/>
    <w:rsid w:val="00216B29"/>
    <w:rsid w:val="0022606D"/>
    <w:rsid w:val="00230BAB"/>
    <w:rsid w:val="002747EC"/>
    <w:rsid w:val="0027559E"/>
    <w:rsid w:val="002855BF"/>
    <w:rsid w:val="002B3DB1"/>
    <w:rsid w:val="002F0D22"/>
    <w:rsid w:val="003172DC"/>
    <w:rsid w:val="00325AE3"/>
    <w:rsid w:val="00326069"/>
    <w:rsid w:val="0035462D"/>
    <w:rsid w:val="00364B41"/>
    <w:rsid w:val="00365871"/>
    <w:rsid w:val="00373523"/>
    <w:rsid w:val="00396D1B"/>
    <w:rsid w:val="003B40AD"/>
    <w:rsid w:val="003C4E37"/>
    <w:rsid w:val="003E16BE"/>
    <w:rsid w:val="003F3732"/>
    <w:rsid w:val="004006E8"/>
    <w:rsid w:val="00401855"/>
    <w:rsid w:val="00411044"/>
    <w:rsid w:val="00477455"/>
    <w:rsid w:val="004C44D2"/>
    <w:rsid w:val="004D3578"/>
    <w:rsid w:val="004D380D"/>
    <w:rsid w:val="004E213A"/>
    <w:rsid w:val="00503171"/>
    <w:rsid w:val="00506C28"/>
    <w:rsid w:val="005328D9"/>
    <w:rsid w:val="00534DA0"/>
    <w:rsid w:val="00541B2B"/>
    <w:rsid w:val="00543E6C"/>
    <w:rsid w:val="00565087"/>
    <w:rsid w:val="0056573F"/>
    <w:rsid w:val="00570E36"/>
    <w:rsid w:val="005929EB"/>
    <w:rsid w:val="00593922"/>
    <w:rsid w:val="005C521D"/>
    <w:rsid w:val="005F3DA4"/>
    <w:rsid w:val="00611566"/>
    <w:rsid w:val="0064653C"/>
    <w:rsid w:val="00646D99"/>
    <w:rsid w:val="00656910"/>
    <w:rsid w:val="006A7A40"/>
    <w:rsid w:val="006C66D8"/>
    <w:rsid w:val="006D1E24"/>
    <w:rsid w:val="006E1417"/>
    <w:rsid w:val="006E4E57"/>
    <w:rsid w:val="006F6A2C"/>
    <w:rsid w:val="00710201"/>
    <w:rsid w:val="0071235F"/>
    <w:rsid w:val="007342B5"/>
    <w:rsid w:val="00734A5B"/>
    <w:rsid w:val="00741E3D"/>
    <w:rsid w:val="00744E76"/>
    <w:rsid w:val="00757D40"/>
    <w:rsid w:val="00772187"/>
    <w:rsid w:val="00781F0F"/>
    <w:rsid w:val="0078727C"/>
    <w:rsid w:val="0079049D"/>
    <w:rsid w:val="00793DC5"/>
    <w:rsid w:val="00797807"/>
    <w:rsid w:val="007B18D8"/>
    <w:rsid w:val="007B1D27"/>
    <w:rsid w:val="007C095F"/>
    <w:rsid w:val="007E2DB3"/>
    <w:rsid w:val="008028A4"/>
    <w:rsid w:val="008121CC"/>
    <w:rsid w:val="00813245"/>
    <w:rsid w:val="00835731"/>
    <w:rsid w:val="008410EE"/>
    <w:rsid w:val="008424EA"/>
    <w:rsid w:val="0086290D"/>
    <w:rsid w:val="008768CA"/>
    <w:rsid w:val="00877EF9"/>
    <w:rsid w:val="00880559"/>
    <w:rsid w:val="00886B6B"/>
    <w:rsid w:val="008B5306"/>
    <w:rsid w:val="008C325B"/>
    <w:rsid w:val="008D108A"/>
    <w:rsid w:val="008E5244"/>
    <w:rsid w:val="0090271F"/>
    <w:rsid w:val="00902DB9"/>
    <w:rsid w:val="0090466A"/>
    <w:rsid w:val="009256A1"/>
    <w:rsid w:val="00936071"/>
    <w:rsid w:val="00940212"/>
    <w:rsid w:val="00942EC2"/>
    <w:rsid w:val="00961B32"/>
    <w:rsid w:val="00970DB3"/>
    <w:rsid w:val="00974BB0"/>
    <w:rsid w:val="009A0AF3"/>
    <w:rsid w:val="009B07CD"/>
    <w:rsid w:val="009C19E9"/>
    <w:rsid w:val="009D3BCF"/>
    <w:rsid w:val="009D74A6"/>
    <w:rsid w:val="009F689A"/>
    <w:rsid w:val="00A10F02"/>
    <w:rsid w:val="00A14A7E"/>
    <w:rsid w:val="00A204CA"/>
    <w:rsid w:val="00A53724"/>
    <w:rsid w:val="00A82346"/>
    <w:rsid w:val="00A9671C"/>
    <w:rsid w:val="00AA1553"/>
    <w:rsid w:val="00AC4CDC"/>
    <w:rsid w:val="00B15449"/>
    <w:rsid w:val="00B26E74"/>
    <w:rsid w:val="00B26F74"/>
    <w:rsid w:val="00B27303"/>
    <w:rsid w:val="00B47FD1"/>
    <w:rsid w:val="00B516BB"/>
    <w:rsid w:val="00B9223D"/>
    <w:rsid w:val="00BA4721"/>
    <w:rsid w:val="00BC3555"/>
    <w:rsid w:val="00BC60BA"/>
    <w:rsid w:val="00BF354F"/>
    <w:rsid w:val="00C12B51"/>
    <w:rsid w:val="00C24650"/>
    <w:rsid w:val="00C33079"/>
    <w:rsid w:val="00C7376B"/>
    <w:rsid w:val="00C83A13"/>
    <w:rsid w:val="00C9068C"/>
    <w:rsid w:val="00C92967"/>
    <w:rsid w:val="00CA3D0C"/>
    <w:rsid w:val="00CA55AB"/>
    <w:rsid w:val="00CA654B"/>
    <w:rsid w:val="00CC3382"/>
    <w:rsid w:val="00CD4C7B"/>
    <w:rsid w:val="00CE1D19"/>
    <w:rsid w:val="00D3792D"/>
    <w:rsid w:val="00D55E47"/>
    <w:rsid w:val="00D62E19"/>
    <w:rsid w:val="00D738D6"/>
    <w:rsid w:val="00D80795"/>
    <w:rsid w:val="00D854BE"/>
    <w:rsid w:val="00D87E00"/>
    <w:rsid w:val="00D9134D"/>
    <w:rsid w:val="00D96D11"/>
    <w:rsid w:val="00DA7A03"/>
    <w:rsid w:val="00DB1818"/>
    <w:rsid w:val="00DC309B"/>
    <w:rsid w:val="00DC4DA2"/>
    <w:rsid w:val="00DC561A"/>
    <w:rsid w:val="00DD5E1C"/>
    <w:rsid w:val="00DE37F3"/>
    <w:rsid w:val="00DE76F9"/>
    <w:rsid w:val="00DF4D9C"/>
    <w:rsid w:val="00E16AB3"/>
    <w:rsid w:val="00E62835"/>
    <w:rsid w:val="00E65B1B"/>
    <w:rsid w:val="00E74871"/>
    <w:rsid w:val="00E77645"/>
    <w:rsid w:val="00E83697"/>
    <w:rsid w:val="00EA528B"/>
    <w:rsid w:val="00EC332F"/>
    <w:rsid w:val="00EC4A25"/>
    <w:rsid w:val="00F025A2"/>
    <w:rsid w:val="00F07388"/>
    <w:rsid w:val="00F2026E"/>
    <w:rsid w:val="00F2210A"/>
    <w:rsid w:val="00F37743"/>
    <w:rsid w:val="00F54A3D"/>
    <w:rsid w:val="00F54CB0"/>
    <w:rsid w:val="00F653B8"/>
    <w:rsid w:val="00F71B89"/>
    <w:rsid w:val="00F7353C"/>
    <w:rsid w:val="00F76F8F"/>
    <w:rsid w:val="00F82881"/>
    <w:rsid w:val="00F952C5"/>
    <w:rsid w:val="00FA0F77"/>
    <w:rsid w:val="00FA1266"/>
    <w:rsid w:val="00FB0A37"/>
    <w:rsid w:val="00FB36FA"/>
    <w:rsid w:val="00FC1192"/>
    <w:rsid w:val="00FD2168"/>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C737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7376B"/>
    <w:rPr>
      <w:rFonts w:ascii="Arial" w:eastAsia="MS Mincho" w:hAnsi="Arial"/>
      <w:szCs w:val="24"/>
    </w:rPr>
  </w:style>
  <w:style w:type="paragraph" w:styleId="ListParagraph">
    <w:name w:val="List Paragraph"/>
    <w:basedOn w:val="Normal"/>
    <w:uiPriority w:val="34"/>
    <w:qFormat/>
    <w:rsid w:val="0027559E"/>
    <w:pPr>
      <w:ind w:left="720"/>
      <w:contextualSpacing/>
    </w:pPr>
  </w:style>
  <w:style w:type="paragraph" w:styleId="NormalWeb">
    <w:name w:val="Normal (Web)"/>
    <w:basedOn w:val="Normal"/>
    <w:uiPriority w:val="99"/>
    <w:unhideWhenUsed/>
    <w:rsid w:val="006E4E57"/>
    <w:pPr>
      <w:spacing w:before="100" w:beforeAutospacing="1" w:after="100" w:afterAutospacing="1"/>
    </w:pPr>
    <w:rPr>
      <w:sz w:val="24"/>
      <w:szCs w:val="24"/>
      <w:lang w:eastAsia="en-GB"/>
    </w:rPr>
  </w:style>
  <w:style w:type="table" w:styleId="TableGrid">
    <w:name w:val="Table Grid"/>
    <w:basedOn w:val="TableNormal"/>
    <w:rsid w:val="00CA55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5C521D"/>
    <w:rPr>
      <w:sz w:val="16"/>
      <w:szCs w:val="16"/>
    </w:rPr>
  </w:style>
  <w:style w:type="paragraph" w:styleId="CommentText">
    <w:name w:val="annotation text"/>
    <w:basedOn w:val="Normal"/>
    <w:link w:val="CommentTextChar"/>
    <w:rsid w:val="005C521D"/>
  </w:style>
  <w:style w:type="character" w:customStyle="1" w:styleId="CommentTextChar">
    <w:name w:val="Comment Text Char"/>
    <w:basedOn w:val="DefaultParagraphFont"/>
    <w:link w:val="CommentText"/>
    <w:rsid w:val="005C521D"/>
    <w:rPr>
      <w:lang w:eastAsia="en-US"/>
    </w:rPr>
  </w:style>
  <w:style w:type="paragraph" w:styleId="CommentSubject">
    <w:name w:val="annotation subject"/>
    <w:basedOn w:val="CommentText"/>
    <w:next w:val="CommentText"/>
    <w:link w:val="CommentSubjectChar"/>
    <w:rsid w:val="005C521D"/>
    <w:rPr>
      <w:b/>
      <w:bCs/>
    </w:rPr>
  </w:style>
  <w:style w:type="character" w:customStyle="1" w:styleId="CommentSubjectChar">
    <w:name w:val="Comment Subject Char"/>
    <w:basedOn w:val="CommentTextChar"/>
    <w:link w:val="CommentSubject"/>
    <w:rsid w:val="005C521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314184">
      <w:bodyDiv w:val="1"/>
      <w:marLeft w:val="0"/>
      <w:marRight w:val="0"/>
      <w:marTop w:val="0"/>
      <w:marBottom w:val="0"/>
      <w:divBdr>
        <w:top w:val="none" w:sz="0" w:space="0" w:color="auto"/>
        <w:left w:val="none" w:sz="0" w:space="0" w:color="auto"/>
        <w:bottom w:val="none" w:sz="0" w:space="0" w:color="auto"/>
        <w:right w:val="none" w:sz="0" w:space="0" w:color="auto"/>
      </w:divBdr>
    </w:div>
    <w:div w:id="164980656">
      <w:bodyDiv w:val="1"/>
      <w:marLeft w:val="0"/>
      <w:marRight w:val="0"/>
      <w:marTop w:val="0"/>
      <w:marBottom w:val="0"/>
      <w:divBdr>
        <w:top w:val="none" w:sz="0" w:space="0" w:color="auto"/>
        <w:left w:val="none" w:sz="0" w:space="0" w:color="auto"/>
        <w:bottom w:val="none" w:sz="0" w:space="0" w:color="auto"/>
        <w:right w:val="none" w:sz="0" w:space="0" w:color="auto"/>
      </w:divBdr>
      <w:divsChild>
        <w:div w:id="2048948650">
          <w:marLeft w:val="720"/>
          <w:marRight w:val="0"/>
          <w:marTop w:val="0"/>
          <w:marBottom w:val="0"/>
          <w:divBdr>
            <w:top w:val="none" w:sz="0" w:space="0" w:color="auto"/>
            <w:left w:val="none" w:sz="0" w:space="0" w:color="auto"/>
            <w:bottom w:val="none" w:sz="0" w:space="0" w:color="auto"/>
            <w:right w:val="none" w:sz="0" w:space="0" w:color="auto"/>
          </w:divBdr>
        </w:div>
        <w:div w:id="724724061">
          <w:marLeft w:val="547"/>
          <w:marRight w:val="0"/>
          <w:marTop w:val="0"/>
          <w:marBottom w:val="0"/>
          <w:divBdr>
            <w:top w:val="none" w:sz="0" w:space="0" w:color="auto"/>
            <w:left w:val="none" w:sz="0" w:space="0" w:color="auto"/>
            <w:bottom w:val="none" w:sz="0" w:space="0" w:color="auto"/>
            <w:right w:val="none" w:sz="0" w:space="0" w:color="auto"/>
          </w:divBdr>
        </w:div>
        <w:div w:id="658534097">
          <w:marLeft w:val="1166"/>
          <w:marRight w:val="0"/>
          <w:marTop w:val="0"/>
          <w:marBottom w:val="0"/>
          <w:divBdr>
            <w:top w:val="none" w:sz="0" w:space="0" w:color="auto"/>
            <w:left w:val="none" w:sz="0" w:space="0" w:color="auto"/>
            <w:bottom w:val="none" w:sz="0" w:space="0" w:color="auto"/>
            <w:right w:val="none" w:sz="0" w:space="0" w:color="auto"/>
          </w:divBdr>
        </w:div>
        <w:div w:id="1528180381">
          <w:marLeft w:val="1166"/>
          <w:marRight w:val="0"/>
          <w:marTop w:val="0"/>
          <w:marBottom w:val="0"/>
          <w:divBdr>
            <w:top w:val="none" w:sz="0" w:space="0" w:color="auto"/>
            <w:left w:val="none" w:sz="0" w:space="0" w:color="auto"/>
            <w:bottom w:val="none" w:sz="0" w:space="0" w:color="auto"/>
            <w:right w:val="none" w:sz="0" w:space="0" w:color="auto"/>
          </w:divBdr>
        </w:div>
        <w:div w:id="1192458301">
          <w:marLeft w:val="1800"/>
          <w:marRight w:val="0"/>
          <w:marTop w:val="0"/>
          <w:marBottom w:val="0"/>
          <w:divBdr>
            <w:top w:val="none" w:sz="0" w:space="0" w:color="auto"/>
            <w:left w:val="none" w:sz="0" w:space="0" w:color="auto"/>
            <w:bottom w:val="none" w:sz="0" w:space="0" w:color="auto"/>
            <w:right w:val="none" w:sz="0" w:space="0" w:color="auto"/>
          </w:divBdr>
        </w:div>
        <w:div w:id="374159598">
          <w:marLeft w:val="1800"/>
          <w:marRight w:val="0"/>
          <w:marTop w:val="0"/>
          <w:marBottom w:val="0"/>
          <w:divBdr>
            <w:top w:val="none" w:sz="0" w:space="0" w:color="auto"/>
            <w:left w:val="none" w:sz="0" w:space="0" w:color="auto"/>
            <w:bottom w:val="none" w:sz="0" w:space="0" w:color="auto"/>
            <w:right w:val="none" w:sz="0" w:space="0" w:color="auto"/>
          </w:divBdr>
        </w:div>
        <w:div w:id="1855067521">
          <w:marLeft w:val="1800"/>
          <w:marRight w:val="0"/>
          <w:marTop w:val="0"/>
          <w:marBottom w:val="0"/>
          <w:divBdr>
            <w:top w:val="none" w:sz="0" w:space="0" w:color="auto"/>
            <w:left w:val="none" w:sz="0" w:space="0" w:color="auto"/>
            <w:bottom w:val="none" w:sz="0" w:space="0" w:color="auto"/>
            <w:right w:val="none" w:sz="0" w:space="0" w:color="auto"/>
          </w:divBdr>
        </w:div>
        <w:div w:id="1177576934">
          <w:marLeft w:val="2520"/>
          <w:marRight w:val="0"/>
          <w:marTop w:val="0"/>
          <w:marBottom w:val="0"/>
          <w:divBdr>
            <w:top w:val="none" w:sz="0" w:space="0" w:color="auto"/>
            <w:left w:val="none" w:sz="0" w:space="0" w:color="auto"/>
            <w:bottom w:val="none" w:sz="0" w:space="0" w:color="auto"/>
            <w:right w:val="none" w:sz="0" w:space="0" w:color="auto"/>
          </w:divBdr>
        </w:div>
        <w:div w:id="535893182">
          <w:marLeft w:val="1166"/>
          <w:marRight w:val="0"/>
          <w:marTop w:val="0"/>
          <w:marBottom w:val="0"/>
          <w:divBdr>
            <w:top w:val="none" w:sz="0" w:space="0" w:color="auto"/>
            <w:left w:val="none" w:sz="0" w:space="0" w:color="auto"/>
            <w:bottom w:val="none" w:sz="0" w:space="0" w:color="auto"/>
            <w:right w:val="none" w:sz="0" w:space="0" w:color="auto"/>
          </w:divBdr>
        </w:div>
        <w:div w:id="261306376">
          <w:marLeft w:val="1800"/>
          <w:marRight w:val="0"/>
          <w:marTop w:val="0"/>
          <w:marBottom w:val="0"/>
          <w:divBdr>
            <w:top w:val="none" w:sz="0" w:space="0" w:color="auto"/>
            <w:left w:val="none" w:sz="0" w:space="0" w:color="auto"/>
            <w:bottom w:val="none" w:sz="0" w:space="0" w:color="auto"/>
            <w:right w:val="none" w:sz="0" w:space="0" w:color="auto"/>
          </w:divBdr>
        </w:div>
        <w:div w:id="1617326719">
          <w:marLeft w:val="1800"/>
          <w:marRight w:val="0"/>
          <w:marTop w:val="0"/>
          <w:marBottom w:val="0"/>
          <w:divBdr>
            <w:top w:val="none" w:sz="0" w:space="0" w:color="auto"/>
            <w:left w:val="none" w:sz="0" w:space="0" w:color="auto"/>
            <w:bottom w:val="none" w:sz="0" w:space="0" w:color="auto"/>
            <w:right w:val="none" w:sz="0" w:space="0" w:color="auto"/>
          </w:divBdr>
        </w:div>
        <w:div w:id="914163152">
          <w:marLeft w:val="1800"/>
          <w:marRight w:val="0"/>
          <w:marTop w:val="0"/>
          <w:marBottom w:val="0"/>
          <w:divBdr>
            <w:top w:val="none" w:sz="0" w:space="0" w:color="auto"/>
            <w:left w:val="none" w:sz="0" w:space="0" w:color="auto"/>
            <w:bottom w:val="none" w:sz="0" w:space="0" w:color="auto"/>
            <w:right w:val="none" w:sz="0" w:space="0" w:color="auto"/>
          </w:divBdr>
        </w:div>
      </w:divsChild>
    </w:div>
    <w:div w:id="592588421">
      <w:bodyDiv w:val="1"/>
      <w:marLeft w:val="0"/>
      <w:marRight w:val="0"/>
      <w:marTop w:val="0"/>
      <w:marBottom w:val="0"/>
      <w:divBdr>
        <w:top w:val="none" w:sz="0" w:space="0" w:color="auto"/>
        <w:left w:val="none" w:sz="0" w:space="0" w:color="auto"/>
        <w:bottom w:val="none" w:sz="0" w:space="0" w:color="auto"/>
        <w:right w:val="none" w:sz="0" w:space="0" w:color="auto"/>
      </w:divBdr>
    </w:div>
    <w:div w:id="68821936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33136970">
      <w:bodyDiv w:val="1"/>
      <w:marLeft w:val="0"/>
      <w:marRight w:val="0"/>
      <w:marTop w:val="0"/>
      <w:marBottom w:val="0"/>
      <w:divBdr>
        <w:top w:val="none" w:sz="0" w:space="0" w:color="auto"/>
        <w:left w:val="none" w:sz="0" w:space="0" w:color="auto"/>
        <w:bottom w:val="none" w:sz="0" w:space="0" w:color="auto"/>
        <w:right w:val="none" w:sz="0" w:space="0" w:color="auto"/>
      </w:divBdr>
      <w:divsChild>
        <w:div w:id="1506283089">
          <w:marLeft w:val="720"/>
          <w:marRight w:val="0"/>
          <w:marTop w:val="0"/>
          <w:marBottom w:val="0"/>
          <w:divBdr>
            <w:top w:val="none" w:sz="0" w:space="0" w:color="auto"/>
            <w:left w:val="none" w:sz="0" w:space="0" w:color="auto"/>
            <w:bottom w:val="none" w:sz="0" w:space="0" w:color="auto"/>
            <w:right w:val="none" w:sz="0" w:space="0" w:color="auto"/>
          </w:divBdr>
        </w:div>
        <w:div w:id="1991982686">
          <w:marLeft w:val="547"/>
          <w:marRight w:val="0"/>
          <w:marTop w:val="0"/>
          <w:marBottom w:val="0"/>
          <w:divBdr>
            <w:top w:val="none" w:sz="0" w:space="0" w:color="auto"/>
            <w:left w:val="none" w:sz="0" w:space="0" w:color="auto"/>
            <w:bottom w:val="none" w:sz="0" w:space="0" w:color="auto"/>
            <w:right w:val="none" w:sz="0" w:space="0" w:color="auto"/>
          </w:divBdr>
        </w:div>
        <w:div w:id="1776561198">
          <w:marLeft w:val="1166"/>
          <w:marRight w:val="0"/>
          <w:marTop w:val="0"/>
          <w:marBottom w:val="0"/>
          <w:divBdr>
            <w:top w:val="none" w:sz="0" w:space="0" w:color="auto"/>
            <w:left w:val="none" w:sz="0" w:space="0" w:color="auto"/>
            <w:bottom w:val="none" w:sz="0" w:space="0" w:color="auto"/>
            <w:right w:val="none" w:sz="0" w:space="0" w:color="auto"/>
          </w:divBdr>
        </w:div>
        <w:div w:id="1004743391">
          <w:marLeft w:val="1166"/>
          <w:marRight w:val="0"/>
          <w:marTop w:val="0"/>
          <w:marBottom w:val="0"/>
          <w:divBdr>
            <w:top w:val="none" w:sz="0" w:space="0" w:color="auto"/>
            <w:left w:val="none" w:sz="0" w:space="0" w:color="auto"/>
            <w:bottom w:val="none" w:sz="0" w:space="0" w:color="auto"/>
            <w:right w:val="none" w:sz="0" w:space="0" w:color="auto"/>
          </w:divBdr>
        </w:div>
        <w:div w:id="1766337661">
          <w:marLeft w:val="1800"/>
          <w:marRight w:val="0"/>
          <w:marTop w:val="0"/>
          <w:marBottom w:val="0"/>
          <w:divBdr>
            <w:top w:val="none" w:sz="0" w:space="0" w:color="auto"/>
            <w:left w:val="none" w:sz="0" w:space="0" w:color="auto"/>
            <w:bottom w:val="none" w:sz="0" w:space="0" w:color="auto"/>
            <w:right w:val="none" w:sz="0" w:space="0" w:color="auto"/>
          </w:divBdr>
        </w:div>
        <w:div w:id="1442609906">
          <w:marLeft w:val="1800"/>
          <w:marRight w:val="0"/>
          <w:marTop w:val="0"/>
          <w:marBottom w:val="0"/>
          <w:divBdr>
            <w:top w:val="none" w:sz="0" w:space="0" w:color="auto"/>
            <w:left w:val="none" w:sz="0" w:space="0" w:color="auto"/>
            <w:bottom w:val="none" w:sz="0" w:space="0" w:color="auto"/>
            <w:right w:val="none" w:sz="0" w:space="0" w:color="auto"/>
          </w:divBdr>
        </w:div>
        <w:div w:id="28528228">
          <w:marLeft w:val="1800"/>
          <w:marRight w:val="0"/>
          <w:marTop w:val="0"/>
          <w:marBottom w:val="0"/>
          <w:divBdr>
            <w:top w:val="none" w:sz="0" w:space="0" w:color="auto"/>
            <w:left w:val="none" w:sz="0" w:space="0" w:color="auto"/>
            <w:bottom w:val="none" w:sz="0" w:space="0" w:color="auto"/>
            <w:right w:val="none" w:sz="0" w:space="0" w:color="auto"/>
          </w:divBdr>
        </w:div>
        <w:div w:id="1971478255">
          <w:marLeft w:val="2520"/>
          <w:marRight w:val="0"/>
          <w:marTop w:val="0"/>
          <w:marBottom w:val="0"/>
          <w:divBdr>
            <w:top w:val="none" w:sz="0" w:space="0" w:color="auto"/>
            <w:left w:val="none" w:sz="0" w:space="0" w:color="auto"/>
            <w:bottom w:val="none" w:sz="0" w:space="0" w:color="auto"/>
            <w:right w:val="none" w:sz="0" w:space="0" w:color="auto"/>
          </w:divBdr>
        </w:div>
        <w:div w:id="833837292">
          <w:marLeft w:val="1166"/>
          <w:marRight w:val="0"/>
          <w:marTop w:val="0"/>
          <w:marBottom w:val="0"/>
          <w:divBdr>
            <w:top w:val="none" w:sz="0" w:space="0" w:color="auto"/>
            <w:left w:val="none" w:sz="0" w:space="0" w:color="auto"/>
            <w:bottom w:val="none" w:sz="0" w:space="0" w:color="auto"/>
            <w:right w:val="none" w:sz="0" w:space="0" w:color="auto"/>
          </w:divBdr>
        </w:div>
        <w:div w:id="16472740">
          <w:marLeft w:val="1800"/>
          <w:marRight w:val="0"/>
          <w:marTop w:val="0"/>
          <w:marBottom w:val="0"/>
          <w:divBdr>
            <w:top w:val="none" w:sz="0" w:space="0" w:color="auto"/>
            <w:left w:val="none" w:sz="0" w:space="0" w:color="auto"/>
            <w:bottom w:val="none" w:sz="0" w:space="0" w:color="auto"/>
            <w:right w:val="none" w:sz="0" w:space="0" w:color="auto"/>
          </w:divBdr>
        </w:div>
        <w:div w:id="382338865">
          <w:marLeft w:val="1800"/>
          <w:marRight w:val="0"/>
          <w:marTop w:val="0"/>
          <w:marBottom w:val="0"/>
          <w:divBdr>
            <w:top w:val="none" w:sz="0" w:space="0" w:color="auto"/>
            <w:left w:val="none" w:sz="0" w:space="0" w:color="auto"/>
            <w:bottom w:val="none" w:sz="0" w:space="0" w:color="auto"/>
            <w:right w:val="none" w:sz="0" w:space="0" w:color="auto"/>
          </w:divBdr>
        </w:div>
        <w:div w:id="1715811694">
          <w:marLeft w:val="180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7688661">
      <w:bodyDiv w:val="1"/>
      <w:marLeft w:val="0"/>
      <w:marRight w:val="0"/>
      <w:marTop w:val="0"/>
      <w:marBottom w:val="0"/>
      <w:divBdr>
        <w:top w:val="none" w:sz="0" w:space="0" w:color="auto"/>
        <w:left w:val="none" w:sz="0" w:space="0" w:color="auto"/>
        <w:bottom w:val="none" w:sz="0" w:space="0" w:color="auto"/>
        <w:right w:val="none" w:sz="0" w:space="0" w:color="auto"/>
      </w:divBdr>
    </w:div>
    <w:div w:id="1682927060">
      <w:bodyDiv w:val="1"/>
      <w:marLeft w:val="0"/>
      <w:marRight w:val="0"/>
      <w:marTop w:val="0"/>
      <w:marBottom w:val="0"/>
      <w:divBdr>
        <w:top w:val="none" w:sz="0" w:space="0" w:color="auto"/>
        <w:left w:val="none" w:sz="0" w:space="0" w:color="auto"/>
        <w:bottom w:val="none" w:sz="0" w:space="0" w:color="auto"/>
        <w:right w:val="none" w:sz="0" w:space="0" w:color="auto"/>
      </w:divBdr>
    </w:div>
    <w:div w:id="1716389362">
      <w:bodyDiv w:val="1"/>
      <w:marLeft w:val="0"/>
      <w:marRight w:val="0"/>
      <w:marTop w:val="0"/>
      <w:marBottom w:val="0"/>
      <w:divBdr>
        <w:top w:val="none" w:sz="0" w:space="0" w:color="auto"/>
        <w:left w:val="none" w:sz="0" w:space="0" w:color="auto"/>
        <w:bottom w:val="none" w:sz="0" w:space="0" w:color="auto"/>
        <w:right w:val="none" w:sz="0" w:space="0" w:color="auto"/>
      </w:divBdr>
    </w:div>
    <w:div w:id="1736009741">
      <w:bodyDiv w:val="1"/>
      <w:marLeft w:val="0"/>
      <w:marRight w:val="0"/>
      <w:marTop w:val="0"/>
      <w:marBottom w:val="0"/>
      <w:divBdr>
        <w:top w:val="none" w:sz="0" w:space="0" w:color="auto"/>
        <w:left w:val="none" w:sz="0" w:space="0" w:color="auto"/>
        <w:bottom w:val="none" w:sz="0" w:space="0" w:color="auto"/>
        <w:right w:val="none" w:sz="0" w:space="0" w:color="auto"/>
      </w:divBdr>
    </w:div>
    <w:div w:id="1947303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5AIRPNAIUNRU-859666464-1274</_dlc_DocId>
    <_dlc_DocIdUrl xmlns="71c5aaf6-e6ce-465b-b873-5148d2a4c105">
      <Url>https://nokia.sharepoint.com/sites/c5g/e2earch/_layouts/15/DocIdRedir.aspx?ID=5AIRPNAIUNRU-859666464-1274</Url>
      <Description>5AIRPNAIUNRU-859666464-1274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83B949-F093-4A25-A4E3-BCA724D5EF2C}">
  <ds:schemaRefs>
    <ds:schemaRef ds:uri="http://schemas.microsoft.com/sharepoint/events"/>
  </ds:schemaRefs>
</ds:datastoreItem>
</file>

<file path=customXml/itemProps2.xml><?xml version="1.0" encoding="utf-8"?>
<ds:datastoreItem xmlns:ds="http://schemas.openxmlformats.org/officeDocument/2006/customXml" ds:itemID="{4D4AB74C-ECB5-48F4-8B70-94C71A8BF760}">
  <ds:schemaRefs>
    <ds:schemaRef ds:uri="http://schemas.microsoft.com/sharepoint/v3/contenttype/forms"/>
  </ds:schemaRefs>
</ds:datastoreItem>
</file>

<file path=customXml/itemProps3.xml><?xml version="1.0" encoding="utf-8"?>
<ds:datastoreItem xmlns:ds="http://schemas.openxmlformats.org/officeDocument/2006/customXml" ds:itemID="{F3B129D7-6591-4298-8751-D703DC67F28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A78A651B-09FE-4E69-AA5D-A99C0D918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2</Pages>
  <Words>1043</Words>
  <Characters>5950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6980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Dawid Koziol</cp:lastModifiedBy>
  <cp:revision>3</cp:revision>
  <dcterms:created xsi:type="dcterms:W3CDTF">2018-01-16T15:47:00Z</dcterms:created>
  <dcterms:modified xsi:type="dcterms:W3CDTF">2018-01-16T15:52:00Z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beaa351c-0cd5-44ae-8d9c-bfe2fe239457</vt:lpwstr>
  </property>
</Properties>
</file>